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library provides materials and resources for information, entertainment, intellectual development, and enrichment of the people of the community. The library should endeavor to:</w:t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Select, organize, and make available necessary books and materials.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guidance and assistance to patrons.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 and implement programs, exhibits, displays, book lists, etc., which would appeal to children and adults.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Cooperate with other community agencies and organizations.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Secure information beyond its own resources when requested. (Using interlibrary loan and other resource sharing methods provided through the system and state.)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Lend to other libraries upon request.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Develop and provide services to patrons with special needs.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Maintain a balance in its services to various age groups.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Cooperate with, but not perform the functions of, school or other institutional libraries.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Provide service during hours which best meet the needs of the community, including evening and weekend hours.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Regularly review library services being offered.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Use media and other public relations mechanisms to promote the full range of available library services.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Style w:val="Heading1"/>
      <w:keepNext w:val="0"/>
      <w:keepLines w:val="0"/>
      <w:pageBreakBefore w:val="0"/>
      <w:spacing w:before="480" w:lineRule="auto"/>
      <w:jc w:val="center"/>
      <w:rPr>
        <w:b w:val="1"/>
        <w:sz w:val="46"/>
        <w:szCs w:val="46"/>
      </w:rPr>
    </w:pPr>
    <w:bookmarkStart w:colFirst="0" w:colLast="0" w:name="_q3rqmt3rgqn2" w:id="0"/>
    <w:bookmarkEnd w:id="0"/>
    <w:r w:rsidDel="00000000" w:rsidR="00000000" w:rsidRPr="00000000">
      <w:rPr>
        <w:b w:val="1"/>
        <w:sz w:val="46"/>
        <w:szCs w:val="46"/>
        <w:rtl w:val="0"/>
      </w:rPr>
      <w:t xml:space="preserve">IV. Services of the Library</w:t>
    </w:r>
  </w:p>
  <w:p w:rsidR="00000000" w:rsidDel="00000000" w:rsidP="00000000" w:rsidRDefault="00000000" w:rsidRPr="00000000" w14:paraId="00000010">
    <w:pPr>
      <w:pageBreakBefore w:val="0"/>
      <w:rPr/>
    </w:pPr>
    <w:r w:rsidDel="00000000" w:rsidR="00000000" w:rsidRPr="00000000">
      <w:rPr>
        <w:rtl w:val="0"/>
      </w:rPr>
      <w:tab/>
      <w:t xml:space="preserve">          Created: April 2020 | Approved: 09/08/2020 | Revised: | To Be Reviewed: 2025</w:t>
    </w:r>
  </w:p>
  <w:p w:rsidR="00000000" w:rsidDel="00000000" w:rsidP="00000000" w:rsidRDefault="00000000" w:rsidRPr="00000000" w14:paraId="00000011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